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Кетова Алексея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ул. Транспортная, 31/1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Дэу Нексия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опьянения. Действия не содержат уголовно наказуемого деяния. Состояние опьянения установлено в ходе освидетельствования прибором Алкотектором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№850675, показания прибора 0,893 мг/л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Правил дорож</w:t>
      </w:r>
      <w:r>
        <w:rPr>
          <w:rFonts w:ascii="Times New Roman" w:eastAsia="Times New Roman" w:hAnsi="Times New Roman" w:cs="Times New Roman"/>
          <w:sz w:val="28"/>
          <w:szCs w:val="28"/>
        </w:rPr>
        <w:t>ного движения РФ, утвержденных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Кетова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Style w:val="cat-UserDefinedgrp-4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Нефтеюганске, </w:t>
      </w:r>
      <w:r>
        <w:rPr>
          <w:rFonts w:ascii="Times New Roman" w:eastAsia="Times New Roman" w:hAnsi="Times New Roman" w:cs="Times New Roman"/>
          <w:sz w:val="28"/>
          <w:szCs w:val="28"/>
        </w:rPr>
        <w:t>на ул. Транспортная, 31/1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Дэу Нексия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опьянения. Действия не содержат уголовно наказуемого деяния. Состояние опьянения установлено в ходе освидетельствования прибором Алкотектором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№850675, показания прибора 0,893 мг/л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протокола, </w:t>
      </w:r>
      <w:r>
        <w:rPr>
          <w:rFonts w:ascii="Times New Roman" w:eastAsia="Times New Roman" w:hAnsi="Times New Roman" w:cs="Times New Roman"/>
          <w:sz w:val="28"/>
          <w:szCs w:val="28"/>
        </w:rPr>
        <w:t>Кетову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 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Style w:val="cat-UserDefinedgrp-4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Кетова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Дэу Нексия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управляет транспортным средством 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6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освидетельствовании, проведенном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>, с применением специального технического средства измерения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850675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дата последней поверки 27.10.2023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акте лично 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бумажный носитель с записью результатов исследования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произведенного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Style w:val="cat-UserDefinedgrp-47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транспортного средства;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копию постановления по делу об административном правонарушении </w:t>
      </w:r>
      <w:r>
        <w:rPr>
          <w:rStyle w:val="cat-UserDefinedgrp-48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Кетова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карточку операции с ВУ;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Кетова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согласно которым в течение календарного года Кетов А.И.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12 главе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 о поверке анализатора паров этанола в выдыхаемом воздухе Анализатор паров этанола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, заводской номер 850675, действительно до 26.10.2024;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отсутствии судимости по ст. 264 УК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видеофиксацией процессуальных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собранные доказательства оценены Мировым судьей по правилам статьи 26.11 КоАП РФ,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ПДД РФ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примечания к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>
        <w:rPr>
          <w:rFonts w:ascii="Times New Roman" w:eastAsia="Times New Roman" w:hAnsi="Times New Roman" w:cs="Times New Roman"/>
          <w:sz w:val="28"/>
          <w:szCs w:val="28"/>
        </w:rPr>
        <w:t>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2, ч. 6 ст. 25.7 КоАП РФ,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244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обязательно присутствие понятых или применение видеозаписи.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 ДПС применена видеозапись.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 зафиксировано,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выявленных, внешних признаках опьянения, 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850675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Кетов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лица, которое управляет транспортным средством.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об административном правонарушении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противоречивы, последовательны, соответствуют критерию допустимости.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достатков, влекущих невозможность использования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при изучении материала судом не установлено.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изучив и оценив все доказательства по делу,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12.8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 именно: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средством, водителем, находящимся в состоянии опьянения, 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</w:t>
      </w:r>
      <w:r>
        <w:rPr>
          <w:rFonts w:ascii="Times New Roman" w:eastAsia="Times New Roman" w:hAnsi="Times New Roman" w:cs="Times New Roman"/>
          <w:sz w:val="28"/>
          <w:szCs w:val="28"/>
        </w:rPr>
        <w:t>го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 23.1, 29.9, 29.10, ст. 32.7 КоАП РФ, мировой судья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Кетова Алексея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0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5rplc-8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Ханты-Мансийска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18810486240290005671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Нефтеюганский рай</w:t>
      </w:r>
      <w:r>
        <w:rPr>
          <w:rFonts w:ascii="Times New Roman" w:eastAsia="Times New Roman" w:hAnsi="Times New Roman" w:cs="Times New Roman"/>
          <w:sz w:val="28"/>
          <w:szCs w:val="28"/>
        </w:rPr>
        <w:t>онный суд,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CarNumbergrp-29rplc-32">
    <w:name w:val="cat-CarNumber grp-29 rplc-32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CarNumbergrp-29rplc-39">
    <w:name w:val="cat-CarNumber grp-29 rplc-39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56">
    <w:name w:val="cat-UserDefined grp-48 rplc-56"/>
    <w:basedOn w:val="DefaultParagraphFont"/>
  </w:style>
  <w:style w:type="character" w:customStyle="1" w:styleId="cat-ExternalSystemDefinedgrp-40rplc-79">
    <w:name w:val="cat-ExternalSystemDefined grp-40 rplc-79"/>
    <w:basedOn w:val="DefaultParagraphFont"/>
  </w:style>
  <w:style w:type="character" w:customStyle="1" w:styleId="cat-OrganizationNamegrp-25rplc-80">
    <w:name w:val="cat-OrganizationName grp-25 rplc-80"/>
    <w:basedOn w:val="DefaultParagraphFont"/>
  </w:style>
  <w:style w:type="character" w:customStyle="1" w:styleId="cat-UserDefinedgrp-49rplc-88">
    <w:name w:val="cat-UserDefined grp-49 rplc-88"/>
    <w:basedOn w:val="DefaultParagraphFont"/>
  </w:style>
  <w:style w:type="character" w:customStyle="1" w:styleId="cat-UserDefinedgrp-50rplc-91">
    <w:name w:val="cat-UserDefined grp-50 rplc-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